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484D5" w14:textId="77777777" w:rsidR="00F92AD0" w:rsidRDefault="00A93787">
      <w:pPr>
        <w:spacing w:after="120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WORKING DRAFT</w:t>
      </w:r>
    </w:p>
    <w:p w14:paraId="3DA8C55B" w14:textId="77777777" w:rsidR="00F92AD0" w:rsidRDefault="00F92AD0">
      <w:pPr>
        <w:spacing w:after="120"/>
        <w:jc w:val="center"/>
        <w:rPr>
          <w:b/>
          <w:bCs/>
          <w:sz w:val="24"/>
          <w:szCs w:val="24"/>
        </w:rPr>
      </w:pPr>
    </w:p>
    <w:p w14:paraId="0EA81625" w14:textId="1A20A1C8" w:rsidR="00F92AD0" w:rsidRDefault="00962B17">
      <w:pPr>
        <w:spacing w:after="1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MUSTER FIELD FARM MUSEUM AND MATTHEW HARVEY HOMESTEAD</w:t>
      </w:r>
    </w:p>
    <w:p w14:paraId="70EB2263" w14:textId="77777777" w:rsidR="00962B17" w:rsidRDefault="00962B17">
      <w:pPr>
        <w:spacing w:after="120"/>
        <w:jc w:val="center"/>
        <w:rPr>
          <w:b/>
          <w:bCs/>
          <w:sz w:val="24"/>
          <w:szCs w:val="24"/>
        </w:rPr>
      </w:pPr>
    </w:p>
    <w:p w14:paraId="61663400" w14:textId="77777777" w:rsidR="00F92AD0" w:rsidRDefault="00A93787">
      <w:pPr>
        <w:spacing w:after="120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Finance Committee Charter</w:t>
      </w:r>
    </w:p>
    <w:p w14:paraId="28E5C46F" w14:textId="77777777" w:rsidR="00F92AD0" w:rsidRDefault="00F92AD0">
      <w:pPr>
        <w:spacing w:after="120"/>
        <w:jc w:val="center"/>
        <w:rPr>
          <w:b/>
          <w:bCs/>
          <w:sz w:val="24"/>
          <w:szCs w:val="24"/>
          <w:u w:val="single"/>
        </w:rPr>
      </w:pPr>
    </w:p>
    <w:p w14:paraId="11ADA766" w14:textId="77777777" w:rsidR="00F92AD0" w:rsidRDefault="00A93787">
      <w:pPr>
        <w:spacing w:after="120"/>
        <w:textAlignment w:val="baseline"/>
        <w:rPr>
          <w:rFonts w:eastAsia="Times New Roman" w:cs="Calibri"/>
          <w:b/>
          <w:bCs/>
          <w:i/>
          <w:iCs/>
          <w:sz w:val="24"/>
          <w:szCs w:val="24"/>
        </w:rPr>
      </w:pPr>
      <w:r>
        <w:rPr>
          <w:rFonts w:eastAsia="Times New Roman" w:cs="Calibri"/>
          <w:b/>
          <w:bCs/>
          <w:i/>
          <w:iCs/>
          <w:sz w:val="24"/>
          <w:szCs w:val="24"/>
        </w:rPr>
        <w:t>Authority and Responsibilities</w:t>
      </w:r>
    </w:p>
    <w:p w14:paraId="4DFBBC0F" w14:textId="77777777" w:rsidR="00F92AD0" w:rsidRDefault="00A93787">
      <w:pPr>
        <w:pStyle w:val="ListParagraph"/>
        <w:numPr>
          <w:ilvl w:val="0"/>
          <w:numId w:val="1"/>
        </w:numPr>
        <w:spacing w:after="120"/>
        <w:ind w:left="360"/>
        <w:textAlignment w:val="baseline"/>
      </w:pPr>
      <w:r>
        <w:rPr>
          <w:sz w:val="24"/>
          <w:szCs w:val="24"/>
        </w:rPr>
        <w:t xml:space="preserve">Provides financial oversight for the organization, including budgeting, financial planning, investment strategies, and monitoring internal controls and accountability policies.  </w:t>
      </w:r>
    </w:p>
    <w:p w14:paraId="4D6A7AA4" w14:textId="77777777" w:rsidR="00F92AD0" w:rsidRDefault="00A93787">
      <w:pPr>
        <w:numPr>
          <w:ilvl w:val="0"/>
          <w:numId w:val="1"/>
        </w:numPr>
        <w:spacing w:after="120" w:line="240" w:lineRule="atLeast"/>
        <w:ind w:left="360"/>
        <w:textAlignment w:val="baseline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>Works with management to develop annual operating and capital budgets for recommendation to the Board.</w:t>
      </w:r>
    </w:p>
    <w:p w14:paraId="08EFD4B3" w14:textId="6D2DA02A" w:rsidR="00F92AD0" w:rsidRDefault="00A93787">
      <w:pPr>
        <w:numPr>
          <w:ilvl w:val="0"/>
          <w:numId w:val="1"/>
        </w:numPr>
        <w:spacing w:after="120" w:line="240" w:lineRule="atLeast"/>
        <w:ind w:left="360"/>
        <w:textAlignment w:val="baseline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 xml:space="preserve">On behalf of the organization, engages the </w:t>
      </w:r>
      <w:r w:rsidR="00962B17">
        <w:rPr>
          <w:rFonts w:eastAsia="Times New Roman" w:cs="Calibri"/>
          <w:sz w:val="24"/>
          <w:szCs w:val="24"/>
        </w:rPr>
        <w:t>accounting</w:t>
      </w:r>
      <w:r>
        <w:rPr>
          <w:rFonts w:eastAsia="Times New Roman" w:cs="Calibri"/>
          <w:sz w:val="24"/>
          <w:szCs w:val="24"/>
        </w:rPr>
        <w:t xml:space="preserve"> firm to complete the annual </w:t>
      </w:r>
      <w:r w:rsidR="00962B17">
        <w:rPr>
          <w:rFonts w:eastAsia="Times New Roman" w:cs="Calibri"/>
          <w:sz w:val="24"/>
          <w:szCs w:val="24"/>
        </w:rPr>
        <w:t>financial statements</w:t>
      </w:r>
      <w:r>
        <w:rPr>
          <w:rFonts w:eastAsia="Times New Roman" w:cs="Calibri"/>
          <w:sz w:val="24"/>
          <w:szCs w:val="24"/>
        </w:rPr>
        <w:t xml:space="preserve"> and serves as a liaison between the a</w:t>
      </w:r>
      <w:r w:rsidR="00962B17">
        <w:rPr>
          <w:rFonts w:eastAsia="Times New Roman" w:cs="Calibri"/>
          <w:sz w:val="24"/>
          <w:szCs w:val="24"/>
        </w:rPr>
        <w:t>ccounting</w:t>
      </w:r>
      <w:r>
        <w:rPr>
          <w:rFonts w:eastAsia="Times New Roman" w:cs="Calibri"/>
          <w:sz w:val="24"/>
          <w:szCs w:val="24"/>
        </w:rPr>
        <w:t xml:space="preserve"> firm and Board and management.</w:t>
      </w:r>
    </w:p>
    <w:p w14:paraId="73BF98D0" w14:textId="77777777" w:rsidR="00F92AD0" w:rsidRDefault="00A93787">
      <w:pPr>
        <w:numPr>
          <w:ilvl w:val="0"/>
          <w:numId w:val="1"/>
        </w:numPr>
        <w:spacing w:after="120" w:line="240" w:lineRule="atLeast"/>
        <w:ind w:left="360"/>
        <w:textAlignment w:val="baseline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 xml:space="preserve">Oversees the completion and timely filing of all applicable tax returns, including annual Form 990, and assures that all Board members </w:t>
      </w:r>
      <w:proofErr w:type="gramStart"/>
      <w:r>
        <w:rPr>
          <w:rFonts w:eastAsia="Times New Roman" w:cs="Calibri"/>
          <w:sz w:val="24"/>
          <w:szCs w:val="24"/>
        </w:rPr>
        <w:t>have the opportunity to</w:t>
      </w:r>
      <w:proofErr w:type="gramEnd"/>
      <w:r>
        <w:rPr>
          <w:rFonts w:eastAsia="Times New Roman" w:cs="Calibri"/>
          <w:sz w:val="24"/>
          <w:szCs w:val="24"/>
        </w:rPr>
        <w:t xml:space="preserve"> review Form 990 in advance of its filing.  </w:t>
      </w:r>
    </w:p>
    <w:p w14:paraId="18564FD6" w14:textId="5F80D9BA" w:rsidR="00F92AD0" w:rsidRDefault="00A93787">
      <w:pPr>
        <w:numPr>
          <w:ilvl w:val="0"/>
          <w:numId w:val="1"/>
        </w:numPr>
        <w:spacing w:after="120" w:line="240" w:lineRule="atLeast"/>
        <w:ind w:left="360"/>
        <w:textAlignment w:val="baseline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 xml:space="preserve">Guides Board and management review of compliance matters in connection with tax return reporting and </w:t>
      </w:r>
      <w:r w:rsidR="00962B17">
        <w:rPr>
          <w:rFonts w:eastAsia="Times New Roman" w:cs="Calibri"/>
          <w:sz w:val="24"/>
          <w:szCs w:val="24"/>
        </w:rPr>
        <w:t>accounting</w:t>
      </w:r>
      <w:r>
        <w:rPr>
          <w:rFonts w:eastAsia="Times New Roman" w:cs="Calibri"/>
          <w:sz w:val="24"/>
          <w:szCs w:val="24"/>
        </w:rPr>
        <w:t xml:space="preserve"> matters.  </w:t>
      </w:r>
    </w:p>
    <w:p w14:paraId="42418A5A" w14:textId="7DF3B675" w:rsidR="00F92AD0" w:rsidRDefault="00A93787">
      <w:pPr>
        <w:numPr>
          <w:ilvl w:val="0"/>
          <w:numId w:val="1"/>
        </w:numPr>
        <w:spacing w:after="120" w:line="240" w:lineRule="atLeast"/>
        <w:ind w:left="360"/>
        <w:textAlignment w:val="baseline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>Establishes, reviews, and updates the investment policy</w:t>
      </w:r>
      <w:r w:rsidR="00962B17">
        <w:rPr>
          <w:rFonts w:eastAsia="Times New Roman" w:cs="Calibri"/>
          <w:sz w:val="24"/>
          <w:szCs w:val="24"/>
        </w:rPr>
        <w:t xml:space="preserve"> (as applicable)</w:t>
      </w:r>
      <w:r>
        <w:rPr>
          <w:rFonts w:eastAsia="Times New Roman" w:cs="Calibri"/>
          <w:sz w:val="24"/>
          <w:szCs w:val="24"/>
        </w:rPr>
        <w:t xml:space="preserve"> for approval by the Board. </w:t>
      </w:r>
    </w:p>
    <w:p w14:paraId="67656EB7" w14:textId="77777777" w:rsidR="00F92AD0" w:rsidRDefault="00A93787">
      <w:pPr>
        <w:numPr>
          <w:ilvl w:val="0"/>
          <w:numId w:val="1"/>
        </w:numPr>
        <w:spacing w:after="120" w:line="240" w:lineRule="atLeast"/>
        <w:ind w:left="360"/>
        <w:textAlignment w:val="baseline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>Reviews overall investment performance, asset allocation, and expenses of the organization’s various invested assets and periodically reports to the Board in connection therewith.</w:t>
      </w:r>
    </w:p>
    <w:p w14:paraId="1BAC25C4" w14:textId="77777777" w:rsidR="00F92AD0" w:rsidRDefault="00A93787">
      <w:pPr>
        <w:numPr>
          <w:ilvl w:val="0"/>
          <w:numId w:val="1"/>
        </w:numPr>
        <w:spacing w:after="120" w:line="240" w:lineRule="atLeast"/>
        <w:ind w:left="360"/>
        <w:textAlignment w:val="baseline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 xml:space="preserve">On behalf of the organization assesses the performance of investment advisors and makes recommendation to the Board regarding any changes of investment advisors. </w:t>
      </w:r>
    </w:p>
    <w:p w14:paraId="363193B7" w14:textId="77777777" w:rsidR="00F92AD0" w:rsidRDefault="00A93787">
      <w:pPr>
        <w:numPr>
          <w:ilvl w:val="0"/>
          <w:numId w:val="2"/>
        </w:numPr>
        <w:spacing w:after="120" w:line="240" w:lineRule="atLeast"/>
        <w:ind w:left="360"/>
        <w:textAlignment w:val="baseline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 xml:space="preserve">Serves as a resource to management in connection with financial management issues and recommendations.  </w:t>
      </w:r>
    </w:p>
    <w:p w14:paraId="26FCA035" w14:textId="77777777" w:rsidR="00F92AD0" w:rsidRDefault="00A93787">
      <w:pPr>
        <w:numPr>
          <w:ilvl w:val="0"/>
          <w:numId w:val="2"/>
        </w:numPr>
        <w:spacing w:after="120" w:line="240" w:lineRule="atLeast"/>
        <w:ind w:left="360"/>
        <w:textAlignment w:val="baseline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 xml:space="preserve">Addresses any other matters that may be delegated to the Committee by the Board. </w:t>
      </w:r>
    </w:p>
    <w:sectPr w:rsidR="00F92AD0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4E54B" w14:textId="77777777" w:rsidR="006C0FDD" w:rsidRDefault="00A93787">
      <w:pPr>
        <w:spacing w:after="0"/>
      </w:pPr>
      <w:r>
        <w:separator/>
      </w:r>
    </w:p>
  </w:endnote>
  <w:endnote w:type="continuationSeparator" w:id="0">
    <w:p w14:paraId="016F7D98" w14:textId="77777777" w:rsidR="006C0FDD" w:rsidRDefault="00A9378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AEB18" w14:textId="77777777" w:rsidR="006C0FDD" w:rsidRDefault="00A93787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71EFDAB7" w14:textId="77777777" w:rsidR="006C0FDD" w:rsidRDefault="00A9378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4D21C7"/>
    <w:multiLevelType w:val="multilevel"/>
    <w:tmpl w:val="FB7C67A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762A003F"/>
    <w:multiLevelType w:val="multilevel"/>
    <w:tmpl w:val="586EF5E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AD0"/>
    <w:rsid w:val="006C0FDD"/>
    <w:rsid w:val="00962B17"/>
    <w:rsid w:val="00A93787"/>
    <w:rsid w:val="00F92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4EBBDE"/>
  <w15:docId w15:val="{68A33B69-0B7D-46B7-8750-B162092BC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230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W. Leberman</dc:creator>
  <dc:description/>
  <cp:lastModifiedBy>Peter W. Leberman</cp:lastModifiedBy>
  <cp:revision>2</cp:revision>
  <dcterms:created xsi:type="dcterms:W3CDTF">2021-10-13T17:08:00Z</dcterms:created>
  <dcterms:modified xsi:type="dcterms:W3CDTF">2021-10-13T17:08:00Z</dcterms:modified>
</cp:coreProperties>
</file>